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center"/>
        <w:rPr>
          <w:rFonts w:ascii="Calibri" w:hAnsi="Calibri" w:eastAsia="Times New Roman" w:cs="Calibri"/>
          <w:b/>
          <w:szCs w:val="20"/>
          <w:lang w:eastAsia="ru-RU"/>
        </w:rPr>
      </w:pPr>
      <w:bookmarkStart w:id="0" w:name="P126"/>
      <w:bookmarkStart w:id="1" w:name="_GoBack"/>
      <w:bookmarkEnd w:id="0"/>
      <w:bookmarkEnd w:id="1"/>
      <w:r>
        <w:rPr>
          <w:rFonts w:eastAsia="Times New Roman" w:cs="Calibri"/>
          <w:b/>
          <w:szCs w:val="20"/>
          <w:lang w:eastAsia="ru-RU"/>
        </w:rPr>
        <w:t>ПАСПОРТ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Calibri" w:hAnsi="Calibri" w:eastAsia="Times New Roman" w:cs="Calibri"/>
          <w:b/>
          <w:szCs w:val="20"/>
          <w:lang w:eastAsia="ru-RU"/>
        </w:rPr>
      </w:pPr>
      <w:r>
        <w:rPr>
          <w:rFonts w:eastAsia="Times New Roman" w:cs="Calibri"/>
          <w:b/>
          <w:szCs w:val="20"/>
          <w:lang w:eastAsia="ru-RU"/>
        </w:rPr>
        <w:t>организации отдыха детей и их оздоровления Тюменской области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Calibri" w:hAnsi="Calibri" w:eastAsia="Times New Roman" w:cs="Calibri"/>
          <w:szCs w:val="20"/>
          <w:lang w:eastAsia="ru-RU"/>
        </w:rPr>
      </w:pPr>
      <w:r>
        <w:rPr>
          <w:rFonts w:eastAsia="Times New Roman" w:cs="Calibri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Calibri" w:hAnsi="Calibri" w:eastAsia="Times New Roman" w:cs="Calibri"/>
          <w:szCs w:val="20"/>
          <w:lang w:eastAsia="ru-RU"/>
        </w:rPr>
      </w:pPr>
      <w:r>
        <w:rPr>
          <w:rFonts w:eastAsia="Times New Roman" w:cs="Calibri"/>
          <w:szCs w:val="20"/>
          <w:lang w:eastAsia="ru-RU"/>
        </w:rPr>
        <w:t xml:space="preserve">Летний оздоровительный лагерь с дневным пребыванием «Радуга» на базе Муниципального автономного общеобразовательного учреждения </w:t>
      </w:r>
    </w:p>
    <w:p>
      <w:pPr>
        <w:pStyle w:val="Normal"/>
        <w:pBdr>
          <w:bottom w:val="single" w:sz="12" w:space="1" w:color="00000A"/>
        </w:pBdr>
        <w:suppressAutoHyphens w:val="true"/>
        <w:spacing w:lineRule="auto" w:line="240" w:before="0" w:after="0"/>
        <w:jc w:val="center"/>
        <w:rPr>
          <w:rFonts w:eastAsia="Times New Roman" w:cs="Calibri" w:cstheme="minorHAnsi"/>
          <w:bCs/>
          <w:kern w:val="2"/>
          <w:sz w:val="24"/>
          <w:szCs w:val="24"/>
          <w:lang w:eastAsia="zh-CN"/>
        </w:rPr>
      </w:pPr>
      <w:r>
        <w:rPr>
          <w:rFonts w:eastAsia="Times New Roman" w:cs="Calibri" w:cstheme="minorHAnsi"/>
          <w:bCs/>
          <w:kern w:val="2"/>
          <w:sz w:val="24"/>
          <w:szCs w:val="24"/>
          <w:lang w:eastAsia="zh-CN"/>
        </w:rPr>
        <w:t>Богандинская средняя общеобразовательная школа № 2 Тюменского муниципального района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Calibri" w:hAnsi="Calibri" w:eastAsia="Times New Roman" w:cs="Calibri"/>
          <w:szCs w:val="20"/>
          <w:lang w:eastAsia="ru-RU"/>
        </w:rPr>
      </w:pPr>
      <w:r>
        <w:rPr>
          <w:rFonts w:eastAsia="Times New Roman" w:cs="Calibri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Calibri" w:hAnsi="Calibri" w:eastAsia="Times New Roman" w:cs="Calibri"/>
          <w:szCs w:val="20"/>
          <w:lang w:eastAsia="ru-RU"/>
        </w:rPr>
      </w:pPr>
      <w:r>
        <w:rPr>
          <w:rFonts w:eastAsia="Times New Roman" w:cs="Calibri"/>
          <w:szCs w:val="20"/>
          <w:lang w:eastAsia="ru-RU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libri" w:hAnsi="Calibri" w:eastAsia="Times New Roman" w:cs="Calibri"/>
          <w:szCs w:val="20"/>
          <w:lang w:eastAsia="ru-RU"/>
        </w:rPr>
      </w:pPr>
      <w:r>
        <w:rPr>
          <w:rFonts w:eastAsia="Times New Roman" w:cs="Calibri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Calibri" w:hAnsi="Calibri" w:eastAsia="Times New Roman" w:cs="Calibri"/>
          <w:b/>
          <w:szCs w:val="20"/>
          <w:lang w:eastAsia="ru-RU"/>
        </w:rPr>
      </w:pPr>
      <w:r>
        <w:rPr>
          <w:rFonts w:eastAsia="Times New Roman" w:cs="Calibri"/>
          <w:b/>
          <w:szCs w:val="20"/>
          <w:lang w:eastAsia="ru-RU"/>
        </w:rPr>
        <w:t>по состоянию на «1</w:t>
      </w:r>
      <w:r>
        <w:rPr>
          <w:rFonts w:eastAsia="Times New Roman" w:cs="Calibri"/>
          <w:b/>
          <w:szCs w:val="20"/>
          <w:lang w:eastAsia="ru-RU"/>
        </w:rPr>
        <w:t>2</w:t>
      </w:r>
      <w:r>
        <w:rPr>
          <w:rFonts w:eastAsia="Times New Roman" w:cs="Calibri"/>
          <w:b/>
          <w:szCs w:val="20"/>
          <w:lang w:eastAsia="ru-RU"/>
        </w:rPr>
        <w:t>» января 202</w:t>
      </w:r>
      <w:r>
        <w:rPr>
          <w:rFonts w:eastAsia="Times New Roman" w:cs="Calibri"/>
          <w:b/>
          <w:szCs w:val="20"/>
          <w:lang w:eastAsia="ru-RU"/>
        </w:rPr>
        <w:t>6</w:t>
      </w:r>
      <w:r>
        <w:rPr>
          <w:rFonts w:eastAsia="Times New Roman" w:cs="Calibri"/>
          <w:b/>
          <w:szCs w:val="20"/>
          <w:lang w:eastAsia="ru-RU"/>
        </w:rPr>
        <w:t>г.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libri" w:hAnsi="Calibri" w:eastAsia="Times New Roman" w:cs="Calibri"/>
          <w:szCs w:val="20"/>
          <w:lang w:eastAsia="ru-RU"/>
        </w:rPr>
      </w:pPr>
      <w:r>
        <w:rPr>
          <w:rFonts w:eastAsia="Times New Roman" w:cs="Calibri"/>
          <w:szCs w:val="20"/>
          <w:lang w:eastAsia="ru-RU"/>
        </w:rPr>
      </w:r>
    </w:p>
    <w:tbl>
      <w:tblPr>
        <w:tblW w:w="935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1" w:val="04a0" w:noHBand="0" w:lastColumn="0" w:firstColumn="1" w:lastRow="0" w:firstRow="1"/>
      </w:tblPr>
      <w:tblGrid>
        <w:gridCol w:w="661"/>
        <w:gridCol w:w="2027"/>
        <w:gridCol w:w="120"/>
        <w:gridCol w:w="858"/>
        <w:gridCol w:w="1007"/>
        <w:gridCol w:w="136"/>
        <w:gridCol w:w="224"/>
        <w:gridCol w:w="222"/>
        <w:gridCol w:w="196"/>
        <w:gridCol w:w="48"/>
        <w:gridCol w:w="427"/>
        <w:gridCol w:w="148"/>
        <w:gridCol w:w="298"/>
        <w:gridCol w:w="221"/>
        <w:gridCol w:w="110"/>
        <w:gridCol w:w="561"/>
        <w:gridCol w:w="560"/>
        <w:gridCol w:w="463"/>
        <w:gridCol w:w="113"/>
        <w:gridCol w:w="449"/>
        <w:gridCol w:w="500"/>
      </w:tblGrid>
      <w:tr>
        <w:trPr/>
        <w:tc>
          <w:tcPr>
            <w:tcW w:w="934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b/>
                <w:szCs w:val="20"/>
              </w:rPr>
            </w:pPr>
            <w:r>
              <w:rPr>
                <w:rFonts w:eastAsia="Times New Roman" w:cs="Calibri" w:cstheme="minorHAnsi"/>
                <w:b/>
                <w:szCs w:val="20"/>
              </w:rPr>
              <w:t>1. Общие сведения об организации отдыха детей и их оздоровления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1.1.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Полное наименование организации отдыха детей и их оздоровления (далее -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Летний оздоровительный лагерь с дневным пребыванием «Радуга» на базе Муниципального автономного общеобразовательного учреждения Богандинской средней общеобразовательной школы № 2 Тюменского муниципального района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 xml:space="preserve">ИНН </w:t>
            </w:r>
            <w:r>
              <w:rPr>
                <w:rFonts w:eastAsia="Times New Roman" w:cs="Calibri" w:cstheme="minorHAnsi"/>
                <w:sz w:val="20"/>
                <w:szCs w:val="20"/>
              </w:rPr>
              <w:t>7224017282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1.2.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Юридический адрес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Times New Roman" w:cs="Calibri" w:cstheme="minorHAnsi"/>
                <w:szCs w:val="20"/>
                <w:lang w:eastAsia="ru-RU"/>
              </w:rPr>
            </w:pPr>
            <w:r>
              <w:rPr>
                <w:rFonts w:eastAsia="Times New Roman" w:cs="Calibri" w:cstheme="minorHAnsi"/>
                <w:szCs w:val="20"/>
                <w:lang w:eastAsia="ru-RU"/>
              </w:rPr>
              <w:t>625520, Тюменская область, Тюменский район, р. п. Богандинский, пер Садовый, д.1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1.3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Фактический адрес местонахождения,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телефон, факс, адреса электронной почты и интернет-страницы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ru-RU"/>
              </w:rPr>
              <w:t xml:space="preserve">625520, Тюменская область, Тюменский район, р.п. Богандинский, ул. Почтовая, зд. 36. </w:t>
            </w:r>
            <w:r>
              <w:rPr>
                <w:rFonts w:eastAsia="Times New Roman" w:cs="Calibri"/>
                <w:kern w:val="2"/>
                <w:szCs w:val="20"/>
                <w:lang w:eastAsia="ru-RU"/>
              </w:rPr>
              <w:t xml:space="preserve"> Тел./факс: </w:t>
            </w:r>
            <w:r>
              <w:rPr>
                <w:rFonts w:eastAsia="Times New Roman" w:cs="Calibri"/>
                <w:kern w:val="2"/>
                <w:lang w:eastAsia="ru-RU"/>
              </w:rPr>
              <w:t>+7 (3452) 720-020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ru-RU"/>
              </w:rPr>
              <w:t xml:space="preserve">эл. почта: </w:t>
            </w:r>
            <w:r>
              <w:rPr>
                <w:rStyle w:val="Hyperlink"/>
                <w:rFonts w:eastAsia="Times New Roman" w:cs="Calibri"/>
                <w:kern w:val="2"/>
                <w:lang w:eastAsia="ru-RU"/>
              </w:rPr>
              <w:t>bog2@obraz-tmr.ru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ru-RU"/>
              </w:rPr>
              <w:t xml:space="preserve">сайт: </w:t>
            </w:r>
            <w:hyperlink r:id="rId2">
              <w:r>
                <w:rPr>
                  <w:rStyle w:val="Hyperlink"/>
                  <w:rFonts w:eastAsia="Times New Roman" w:cs="Calibri"/>
                  <w:kern w:val="2"/>
                  <w:lang w:eastAsia="ru-RU"/>
                </w:rPr>
                <w:t>https://vk.com/public211964026</w:t>
              </w:r>
            </w:hyperlink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1.4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Удаленность от ближайшего населенного пункта, расстояние до него от организации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(в км)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</w:rPr>
              <w:t>В самом поселке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1.5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Учредитель организации (полное наименование):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Тюменский муниципальный район в лице управления образования Администрации Тюменского муниципального района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адрес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г. Тюмень, ул. Московский тракт, д. 115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контактный телефон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8 (3452)289-601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Ф.И.О. руководителя (без сокращений)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Буторина Ольга Николаевна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1.6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Собственник организации (полное имя/наименование):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Тюменский муниципальный район в лице Администрации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адрес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г. Тюмень, ул. Московский тракт, 115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контактный телефон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8 (3452)288-711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Ф.И.О. руководителя (без сокращений)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Зимина Ольга Витальевна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1.7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Руководитель организации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Ф.И.О. (без сокращений)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  <w:t>Полунина Светлана Анатольевна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образование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  <w:t xml:space="preserve">Высшее 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стаж работы в данной должности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  <w:t xml:space="preserve">7 </w:t>
            </w:r>
            <w:r>
              <w:rPr>
                <w:rFonts w:eastAsia="Times New Roman" w:cs="Calibri" w:cstheme="minorHAnsi"/>
                <w:kern w:val="2"/>
                <w:lang w:eastAsia="zh-CN"/>
              </w:rPr>
              <w:t xml:space="preserve"> лет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контактный телефон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  <w:t>8 (3452) 644 - 085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1.8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 xml:space="preserve">Тип организации </w:t>
            </w:r>
            <w:r>
              <w:fldChar w:fldCharType="begin"/>
            </w:r>
            <w:r>
              <w:rPr>
                <w:szCs w:val="20"/>
                <w:rFonts w:cs="Calibri"/>
                <w:color w:val="0000FF"/>
              </w:rPr>
              <w:instrText xml:space="preserve"> HYPERLINK "../../../C:/Users/%D0%91%D0%BE%D0%B3%D0%B0%D0%BD%D0%B4%D0%B8%D0%BD%D1%81%D0%BA%D0%B0%D1%8F%20%D0%A1%D0%9E%D0%A8%20%E2%84%962/Downloads/%D1%84%D0%BE%D1%80%D0%BC%D0%B0%20%D0%BF%D0%B0%D1%81%D0%BF%D0%BE%D1%80%D1%82%D0%B0%20%D0%BB%D0%B0%D0%B3%D0%B5%D1%80%D1%8F.docx" \l "P1064"</w:instrText>
            </w:r>
            <w:r>
              <w:rPr>
                <w:szCs w:val="20"/>
                <w:rFonts w:cs="Calibri"/>
                <w:color w:val="0000FF"/>
              </w:rPr>
              <w:fldChar w:fldCharType="separate"/>
            </w:r>
            <w:r>
              <w:rPr>
                <w:rFonts w:cs="Calibri" w:cstheme="minorHAnsi"/>
                <w:color w:val="0000FF"/>
                <w:szCs w:val="20"/>
              </w:rPr>
              <w:t>&lt;*&gt;</w:t>
            </w:r>
            <w:r>
              <w:rPr>
                <w:szCs w:val="20"/>
                <w:rFonts w:cs="Calibri"/>
                <w:color w:val="0000FF"/>
              </w:rPr>
              <w:fldChar w:fldCharType="end"/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Лагерь с дневным пребыванием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1.9.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Положение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1.10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Год ввода организации в эксплуатацию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</w:rPr>
              <w:t>2022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1.11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Период функционирования организации (круглогодично, сезонно)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Сезонно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1.12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Проектная мощность организации (какое количество детей может принять одновременно)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</w:rPr>
              <w:t>150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1.13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Наличие проекта организации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имеется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1.14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Год последнего ремонта, в том числе: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капитальный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текущий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1.15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Количество смен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2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1.16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Длительность смен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15 рабочих дней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1.17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Загрузка по сменам (количество детей):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- 1-я смена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- 2-я смена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- 3-я смена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- 4-я смена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загрузка в межканикулярный период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1.18.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Возраст детей, принимаемых организацией на отдых и оздоровление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6,5-17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1.19</w:t>
            </w:r>
          </w:p>
        </w:tc>
        <w:tc>
          <w:tcPr>
            <w:tcW w:w="868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Здания и сооружения нежилого назначения: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Количество, этажность</w:t>
            </w:r>
          </w:p>
        </w:tc>
        <w:tc>
          <w:tcPr>
            <w:tcW w:w="1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 w:val="20"/>
                <w:szCs w:val="20"/>
              </w:rPr>
            </w:pPr>
            <w:r>
              <w:rPr>
                <w:rFonts w:eastAsia="Times New Roman" w:cs="Calibri" w:cstheme="minorHAnsi"/>
                <w:sz w:val="20"/>
                <w:szCs w:val="20"/>
              </w:rPr>
              <w:t>год постройки</w:t>
            </w:r>
          </w:p>
        </w:tc>
        <w:tc>
          <w:tcPr>
            <w:tcW w:w="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 w:val="20"/>
                <w:szCs w:val="20"/>
              </w:rPr>
            </w:pPr>
            <w:r>
              <w:rPr>
                <w:rFonts w:eastAsia="Times New Roman" w:cs="Calibri" w:cstheme="minorHAnsi"/>
                <w:sz w:val="20"/>
                <w:szCs w:val="20"/>
              </w:rPr>
              <w:t>Площадь (кв. м)</w:t>
            </w: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 w:val="20"/>
                <w:szCs w:val="20"/>
              </w:rPr>
            </w:pPr>
            <w:r>
              <w:rPr>
                <w:rFonts w:eastAsia="Times New Roman" w:cs="Calibri" w:cstheme="minorHAnsi"/>
                <w:sz w:val="20"/>
                <w:szCs w:val="20"/>
              </w:rPr>
              <w:t>степень износа (в %)</w:t>
            </w:r>
          </w:p>
        </w:tc>
        <w:tc>
          <w:tcPr>
            <w:tcW w:w="1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 w:val="20"/>
                <w:szCs w:val="20"/>
              </w:rPr>
            </w:pPr>
            <w:r>
              <w:rPr>
                <w:rFonts w:eastAsia="Times New Roman" w:cs="Calibri" w:cstheme="minorHAnsi"/>
                <w:sz w:val="20"/>
                <w:szCs w:val="20"/>
              </w:rPr>
              <w:t>на какое количество детей рассчитано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 w:val="20"/>
                <w:szCs w:val="20"/>
              </w:rPr>
            </w:pPr>
            <w:r>
              <w:rPr>
                <w:rFonts w:eastAsia="Times New Roman" w:cs="Calibri" w:cstheme="minorHAnsi"/>
                <w:sz w:val="20"/>
                <w:szCs w:val="20"/>
              </w:rPr>
              <w:t>Год последнего капитального ремонта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1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2022</w:t>
            </w:r>
          </w:p>
        </w:tc>
        <w:tc>
          <w:tcPr>
            <w:tcW w:w="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8032,1</w:t>
            </w: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1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360</w:t>
            </w:r>
          </w:p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  <w:p>
            <w:pPr>
              <w:pStyle w:val="Normal"/>
              <w:widowControl w:val="false"/>
              <w:spacing w:lineRule="auto" w:line="252" w:before="0" w:after="0"/>
              <w:jc w:val="left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1.20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автобусы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</w:rPr>
              <w:t>3, ПАЗ 423470, КАВЗ 4238-0000010-65, КАВЗ 4238-65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микроавтобусы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автотранспорт коммунального назначения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1, ГАЗ 31105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1.21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Территория: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общая площадь земельного участка (га)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2,1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площадь озеленения (га)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0,8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насаждений на территории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имеется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соответствует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плана территории организации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kern w:val="2"/>
                <w:szCs w:val="20"/>
                <w:lang w:eastAsia="zh-CN" w:bidi="hi-IN"/>
              </w:rPr>
              <w:t>имеется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1.22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бассейн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пруд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река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озеро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водохранилище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море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1.23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Наличие оборудованного пляжа, в том числе: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ограждения в зоне купания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душевой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туалета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кабин для переодевания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навесов от солнца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пункта медицинской помощи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поста службы спасения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1.24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ограждение (указать какое)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</w:rPr>
              <w:t>+ (металлический забор)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охрана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+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организация пропускного режима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+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кнопки тревожной сигнализации (КТС)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+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+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системы оповещения и управления эвакуацией людей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+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укомплектованность первичными средствами пожаротушения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+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+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b/>
                <w:szCs w:val="20"/>
              </w:rPr>
            </w:pPr>
            <w:r>
              <w:rPr>
                <w:rFonts w:eastAsia="Times New Roman" w:cs="Calibri" w:cstheme="minorHAnsi"/>
                <w:b/>
                <w:szCs w:val="20"/>
              </w:rPr>
              <w:t>2.</w:t>
            </w:r>
          </w:p>
        </w:tc>
        <w:tc>
          <w:tcPr>
            <w:tcW w:w="868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b/>
                <w:szCs w:val="20"/>
              </w:rPr>
            </w:pPr>
            <w:r>
              <w:rPr>
                <w:rFonts w:eastAsia="Times New Roman" w:cs="Calibri" w:cstheme="minorHAnsi"/>
                <w:b/>
                <w:szCs w:val="20"/>
              </w:rPr>
              <w:t>Сведения о штатной численности организации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1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Количество (чел.)</w:t>
            </w:r>
          </w:p>
        </w:tc>
        <w:tc>
          <w:tcPr>
            <w:tcW w:w="32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Образовательный уровень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по штату</w:t>
            </w:r>
          </w:p>
        </w:tc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в наличии</w:t>
            </w:r>
          </w:p>
        </w:tc>
        <w:tc>
          <w:tcPr>
            <w:tcW w:w="11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Высшее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средне-специальное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среднее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Штатная численность организации, в том числе:</w:t>
            </w:r>
          </w:p>
        </w:tc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  <w:highlight w:val="yellow"/>
              </w:rPr>
            </w:pPr>
            <w:r>
              <w:rPr>
                <w:rFonts w:eastAsia="Times New Roman" w:cs="Calibri" w:cstheme="minorHAnsi"/>
                <w:szCs w:val="20"/>
                <w:highlight w:val="yellow"/>
              </w:rPr>
            </w:r>
          </w:p>
        </w:tc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  <w:highlight w:val="yellow"/>
              </w:rPr>
            </w:pPr>
            <w:r>
              <w:rPr>
                <w:rFonts w:eastAsia="Times New Roman" w:cs="Calibri" w:cstheme="minorHAnsi"/>
                <w:szCs w:val="20"/>
                <w:highlight w:val="yellow"/>
              </w:rPr>
            </w:r>
          </w:p>
        </w:tc>
        <w:tc>
          <w:tcPr>
            <w:tcW w:w="11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  <w:highlight w:val="yellow"/>
              </w:rPr>
            </w:pPr>
            <w:r>
              <w:rPr>
                <w:rFonts w:eastAsia="Times New Roman" w:cs="Calibri" w:cstheme="minorHAnsi"/>
                <w:szCs w:val="20"/>
                <w:highlight w:val="yellow"/>
              </w:rPr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  <w:highlight w:val="yellow"/>
              </w:rPr>
            </w:pPr>
            <w:r>
              <w:rPr>
                <w:rFonts w:eastAsia="Times New Roman" w:cs="Calibri" w:cstheme="minorHAnsi"/>
                <w:szCs w:val="20"/>
                <w:highlight w:val="yellow"/>
              </w:rPr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  <w:highlight w:val="yellow"/>
              </w:rPr>
            </w:pPr>
            <w:r>
              <w:rPr>
                <w:rFonts w:eastAsia="Times New Roman" w:cs="Calibri" w:cstheme="minorHAnsi"/>
                <w:szCs w:val="20"/>
                <w:highlight w:val="yellow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2.1.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Педагогические работники</w:t>
            </w:r>
          </w:p>
        </w:tc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  <w:t>48</w:t>
            </w:r>
          </w:p>
        </w:tc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  <w:t>48</w:t>
            </w:r>
          </w:p>
        </w:tc>
        <w:tc>
          <w:tcPr>
            <w:tcW w:w="11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  <w:t>42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  <w:t>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2.2.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Медицинские работники</w:t>
            </w:r>
          </w:p>
        </w:tc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  <w:t>-</w:t>
            </w:r>
          </w:p>
        </w:tc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</w:r>
          </w:p>
        </w:tc>
        <w:tc>
          <w:tcPr>
            <w:tcW w:w="11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2.3.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Работники пищеблока</w:t>
            </w:r>
          </w:p>
        </w:tc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  <w:t>-</w:t>
            </w:r>
          </w:p>
        </w:tc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</w:r>
          </w:p>
        </w:tc>
        <w:tc>
          <w:tcPr>
            <w:tcW w:w="11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2.4.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Административно-хозяйственный персонал</w:t>
            </w:r>
          </w:p>
        </w:tc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  <w:t>17</w:t>
            </w:r>
          </w:p>
        </w:tc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  <w:t>17</w:t>
            </w:r>
          </w:p>
        </w:tc>
        <w:tc>
          <w:tcPr>
            <w:tcW w:w="11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  <w:t>-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  <w:t>7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10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2.5.</w:t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Другие (</w:t>
            </w:r>
            <w:r>
              <w:rPr>
                <w:rFonts w:eastAsia="Times New Roman" w:cs="Calibri" w:cstheme="minorHAnsi"/>
              </w:rPr>
              <w:t>Помощники педагога-организатора</w:t>
            </w:r>
            <w:r>
              <w:rPr>
                <w:rFonts w:eastAsia="Times New Roman" w:cs="Calibri" w:cstheme="minorHAnsi"/>
                <w:szCs w:val="20"/>
              </w:rPr>
              <w:t>)</w:t>
            </w:r>
          </w:p>
        </w:tc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  <w:t>34</w:t>
            </w:r>
          </w:p>
        </w:tc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  <w:t>34</w:t>
            </w:r>
          </w:p>
        </w:tc>
        <w:tc>
          <w:tcPr>
            <w:tcW w:w="11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b/>
                <w:szCs w:val="20"/>
              </w:rPr>
            </w:pPr>
            <w:r>
              <w:rPr>
                <w:rFonts w:eastAsia="Times New Roman" w:cs="Calibri" w:cstheme="minorHAnsi"/>
                <w:b/>
                <w:szCs w:val="20"/>
              </w:rPr>
              <w:t>3.</w:t>
            </w:r>
          </w:p>
        </w:tc>
        <w:tc>
          <w:tcPr>
            <w:tcW w:w="868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b/>
                <w:szCs w:val="20"/>
              </w:rPr>
            </w:pPr>
            <w:r>
              <w:rPr>
                <w:rFonts w:eastAsia="Times New Roman" w:cs="Calibri" w:cstheme="minorHAnsi"/>
                <w:b/>
                <w:szCs w:val="20"/>
              </w:rPr>
              <w:t>Сведения об условиях размещения детей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Характеристика помещений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Спальные помещения</w:t>
            </w:r>
          </w:p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(по числу этажей и помещений)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2 этаж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номер спального помещения (строка разбивается по количеству помещений)</w:t>
            </w:r>
          </w:p>
        </w:tc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N 203</w:t>
            </w:r>
          </w:p>
        </w:tc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N 204</w:t>
            </w:r>
          </w:p>
        </w:tc>
        <w:tc>
          <w:tcPr>
            <w:tcW w:w="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N 205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N 206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N 202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N 218</w:t>
            </w: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N 217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N 217 а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площадь спального помещения (в м</w:t>
            </w:r>
            <w:r>
              <w:rPr>
                <w:rFonts w:eastAsia="Times New Roman" w:cs="Calibri" w:cstheme="minorHAnsi"/>
                <w:szCs w:val="20"/>
                <w:vertAlign w:val="superscript"/>
              </w:rPr>
              <w:t>2</w:t>
            </w:r>
            <w:r>
              <w:rPr>
                <w:rFonts w:eastAsia="Times New Roman" w:cs="Calibri" w:cstheme="minorHAnsi"/>
                <w:szCs w:val="20"/>
              </w:rPr>
              <w:t>)</w:t>
            </w:r>
          </w:p>
        </w:tc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  <w:lang w:val="en-US"/>
              </w:rPr>
              <w:t>54,26</w:t>
            </w:r>
          </w:p>
        </w:tc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57,72</w:t>
            </w:r>
          </w:p>
        </w:tc>
        <w:tc>
          <w:tcPr>
            <w:tcW w:w="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57,30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57,42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34,04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56,91</w:t>
            </w: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57,51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36,02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высота спального помещения (в метрах)</w:t>
            </w:r>
          </w:p>
        </w:tc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3,1</w:t>
            </w:r>
          </w:p>
        </w:tc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3,1</w:t>
            </w:r>
          </w:p>
        </w:tc>
        <w:tc>
          <w:tcPr>
            <w:tcW w:w="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  <w:t>3,1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3,1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3,1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3,1</w:t>
            </w: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3,1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3,1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количество коек (шт.)</w:t>
            </w:r>
          </w:p>
        </w:tc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13</w:t>
            </w:r>
          </w:p>
        </w:tc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14</w:t>
            </w:r>
          </w:p>
        </w:tc>
        <w:tc>
          <w:tcPr>
            <w:tcW w:w="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  <w:t>14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val="en-US" w:eastAsia="zh-CN"/>
              </w:rPr>
            </w:pPr>
            <w:r>
              <w:rPr>
                <w:rFonts w:eastAsia="Times New Roman" w:cs="Calibri" w:cstheme="minorHAnsi"/>
                <w:kern w:val="2"/>
                <w:lang w:val="en-US" w:eastAsia="zh-CN"/>
              </w:rPr>
              <w:t>14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val="en-US" w:eastAsia="zh-CN"/>
              </w:rPr>
            </w:pPr>
            <w:r>
              <w:rPr>
                <w:rFonts w:eastAsia="Times New Roman" w:cs="Calibri" w:cstheme="minorHAnsi"/>
                <w:kern w:val="2"/>
                <w:lang w:val="en-US" w:eastAsia="zh-CN"/>
              </w:rPr>
              <w:t>8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val="en-US" w:eastAsia="zh-CN"/>
              </w:rPr>
            </w:pPr>
            <w:r>
              <w:rPr>
                <w:rFonts w:eastAsia="Times New Roman" w:cs="Calibri" w:cstheme="minorHAnsi"/>
                <w:kern w:val="2"/>
                <w:lang w:val="en-US" w:eastAsia="zh-CN"/>
              </w:rPr>
              <w:t>14</w:t>
            </w: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val="en-US" w:eastAsia="zh-CN"/>
              </w:rPr>
            </w:pPr>
            <w:r>
              <w:rPr>
                <w:rFonts w:eastAsia="Times New Roman" w:cs="Calibri" w:cstheme="minorHAnsi"/>
                <w:kern w:val="2"/>
                <w:lang w:val="en-US" w:eastAsia="zh-CN"/>
              </w:rPr>
              <w:t>14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val="en-US" w:eastAsia="zh-CN"/>
              </w:rPr>
            </w:pPr>
            <w:r>
              <w:rPr>
                <w:rFonts w:eastAsia="Times New Roman" w:cs="Calibri" w:cstheme="minorHAnsi"/>
                <w:kern w:val="2"/>
                <w:lang w:val="en-US" w:eastAsia="zh-CN"/>
              </w:rPr>
              <w:t>9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год последнего ремонта, в том числе:</w:t>
            </w:r>
          </w:p>
        </w:tc>
        <w:tc>
          <w:tcPr>
            <w:tcW w:w="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капитальный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текущий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горячего водоснабжения (на этаже), в том числе: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централизованное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center"/>
              <w:rPr>
                <w:rFonts w:eastAsia="Calibri" w:cs="Calibri" w:cstheme="minorHAnsi"/>
                <w:kern w:val="2"/>
                <w:lang w:eastAsia="ar-SA"/>
              </w:rPr>
            </w:pPr>
            <w:r>
              <w:rPr>
                <w:rFonts w:eastAsia="Calibri" w:cs="Calibri" w:cstheme="minorHAnsi"/>
                <w:kern w:val="2"/>
                <w:lang w:eastAsia="ar-SA"/>
              </w:rPr>
              <w:t>+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децентрализованное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холодного водоснабжения (на этаже, в том числе):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централизованное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szCs w:val="24"/>
                <w:lang w:eastAsia="zh-CN" w:bidi="hi-IN"/>
              </w:rPr>
            </w:pPr>
            <w:r>
              <w:rPr>
                <w:rFonts w:eastAsia="Calibri" w:cs="Calibri" w:cstheme="minorHAnsi"/>
                <w:kern w:val="2"/>
                <w:szCs w:val="24"/>
                <w:lang w:eastAsia="ar-SA" w:bidi="hi-IN"/>
              </w:rPr>
              <w:t>+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децентрализованное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сушилок для одежды и обуви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количество кранов в умывальнике (на этаже)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10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количество очков в туалете (на этаже)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6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комнаты личной гигиены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2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4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камеры хранения личных вещей детей</w:t>
            </w:r>
          </w:p>
        </w:tc>
        <w:tc>
          <w:tcPr>
            <w:tcW w:w="45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b/>
                <w:szCs w:val="20"/>
              </w:rPr>
            </w:pPr>
            <w:r>
              <w:rPr>
                <w:rFonts w:eastAsia="Times New Roman" w:cs="Calibri" w:cstheme="minorHAnsi"/>
                <w:b/>
                <w:szCs w:val="20"/>
              </w:rPr>
              <w:t>4.</w:t>
            </w:r>
          </w:p>
        </w:tc>
        <w:tc>
          <w:tcPr>
            <w:tcW w:w="868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b/>
                <w:szCs w:val="20"/>
              </w:rPr>
            </w:pPr>
            <w:r>
              <w:rPr>
                <w:rFonts w:eastAsia="Times New Roman" w:cs="Calibri" w:cstheme="minorHAnsi"/>
                <w:b/>
                <w:szCs w:val="20"/>
              </w:rPr>
              <w:t>Обеспеченность физкультурно-оздоровительными сооружениями, площадками для: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Год постройки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Площадь</w:t>
            </w:r>
          </w:p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(кв. м)</w:t>
            </w:r>
          </w:p>
        </w:tc>
        <w:tc>
          <w:tcPr>
            <w:tcW w:w="1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Степень износа</w:t>
            </w:r>
          </w:p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(в %)</w:t>
            </w:r>
          </w:p>
        </w:tc>
        <w:tc>
          <w:tcPr>
            <w:tcW w:w="2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На какое количество детей</w:t>
            </w:r>
          </w:p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рассчитано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Год последнего капитального ремонта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волейбола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2022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162</w:t>
            </w:r>
          </w:p>
        </w:tc>
        <w:tc>
          <w:tcPr>
            <w:tcW w:w="1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баскетбола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-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1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бадминтона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-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1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настольного тенниса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2022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100</w:t>
            </w:r>
          </w:p>
        </w:tc>
        <w:tc>
          <w:tcPr>
            <w:tcW w:w="1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8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прыжков в длину, высоту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2022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10</w:t>
            </w:r>
          </w:p>
        </w:tc>
        <w:tc>
          <w:tcPr>
            <w:tcW w:w="1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беговая дорожка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2022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450</w:t>
            </w:r>
          </w:p>
        </w:tc>
        <w:tc>
          <w:tcPr>
            <w:tcW w:w="1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футбольное поле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2022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615</w:t>
            </w:r>
          </w:p>
        </w:tc>
        <w:tc>
          <w:tcPr>
            <w:tcW w:w="1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бассейн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-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1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другие (указать какие)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-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1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b/>
                <w:szCs w:val="20"/>
              </w:rPr>
            </w:pPr>
            <w:r>
              <w:rPr>
                <w:rFonts w:eastAsia="Times New Roman" w:cs="Calibri" w:cstheme="minorHAnsi"/>
                <w:b/>
                <w:szCs w:val="20"/>
              </w:rPr>
              <w:t>5.</w:t>
            </w:r>
          </w:p>
        </w:tc>
        <w:tc>
          <w:tcPr>
            <w:tcW w:w="868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b/>
                <w:szCs w:val="20"/>
              </w:rPr>
            </w:pPr>
            <w:r>
              <w:rPr>
                <w:rFonts w:eastAsia="Times New Roman" w:cs="Calibri" w:cstheme="minorHAnsi"/>
                <w:b/>
                <w:szCs w:val="20"/>
              </w:rPr>
              <w:t>Обеспеченность объектами культурно-массового назначения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59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кинозал (количество мест)</w:t>
            </w:r>
          </w:p>
        </w:tc>
        <w:tc>
          <w:tcPr>
            <w:tcW w:w="27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both"/>
              <w:rPr>
                <w:rFonts w:eastAsia="Times New Roman" w:cs="Calibri" w:cstheme="minorHAnsi"/>
                <w:color w:val="00000A"/>
                <w:kern w:val="2"/>
                <w:lang w:eastAsia="ar-SA"/>
              </w:rPr>
            </w:pPr>
            <w:r>
              <w:rPr>
                <w:rFonts w:eastAsia="Times New Roman" w:cs="Calibri" w:cstheme="minorHAnsi"/>
                <w:color w:val="00000A"/>
                <w:kern w:val="2"/>
                <w:lang w:eastAsia="ar-SA"/>
              </w:rPr>
              <w:t xml:space="preserve">              </w:t>
            </w:r>
            <w:r>
              <w:rPr>
                <w:rFonts w:eastAsia="Times New Roman" w:cs="Calibri" w:cstheme="minorHAnsi"/>
                <w:color w:val="00000A"/>
                <w:kern w:val="2"/>
                <w:lang w:eastAsia="ar-SA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59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библиотека (количество мест в читальном зале)</w:t>
            </w:r>
          </w:p>
        </w:tc>
        <w:tc>
          <w:tcPr>
            <w:tcW w:w="27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+(30)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59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27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Кабинеты №104, 105, 106, 107, 108, 111, 101 (7)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59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актовый зал (крытая эстрада), количество посадочных мест</w:t>
            </w:r>
          </w:p>
        </w:tc>
        <w:tc>
          <w:tcPr>
            <w:tcW w:w="27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+(200)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59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летняя эстрада (открытая площадка)</w:t>
            </w:r>
          </w:p>
        </w:tc>
        <w:tc>
          <w:tcPr>
            <w:tcW w:w="27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59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аттракционов</w:t>
            </w:r>
          </w:p>
        </w:tc>
        <w:tc>
          <w:tcPr>
            <w:tcW w:w="27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59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детей, в том числе компьютерной техники</w:t>
            </w:r>
          </w:p>
        </w:tc>
        <w:tc>
          <w:tcPr>
            <w:tcW w:w="27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+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b/>
                <w:szCs w:val="20"/>
              </w:rPr>
            </w:pPr>
            <w:r>
              <w:rPr>
                <w:rFonts w:eastAsia="Times New Roman" w:cs="Calibri" w:cstheme="minorHAnsi"/>
                <w:b/>
                <w:szCs w:val="20"/>
              </w:rPr>
              <w:t>6.</w:t>
            </w:r>
          </w:p>
        </w:tc>
        <w:tc>
          <w:tcPr>
            <w:tcW w:w="868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b/>
                <w:szCs w:val="20"/>
              </w:rPr>
            </w:pPr>
            <w:r>
              <w:rPr>
                <w:rFonts w:eastAsia="Times New Roman" w:cs="Calibri" w:cstheme="minorHAnsi"/>
                <w:b/>
                <w:szCs w:val="20"/>
              </w:rPr>
              <w:t>Обеспеченность объектами медицинского назначения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Кол-во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Площадь (кв. м)</w:t>
            </w: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Степень износа</w:t>
            </w:r>
          </w:p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(в %)</w:t>
            </w:r>
          </w:p>
        </w:tc>
        <w:tc>
          <w:tcPr>
            <w:tcW w:w="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Оснащен в соответствии с нормами (да, нет)</w:t>
            </w:r>
          </w:p>
        </w:tc>
        <w:tc>
          <w:tcPr>
            <w:tcW w:w="2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Год постройки (ввода в эксплуатацию)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Год последнего капитального ремонта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6.1.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Медицинский пункт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center"/>
              <w:rPr>
                <w:rFonts w:eastAsia="Times New Roman" w:cs="Calibri" w:cstheme="minorHAnsi"/>
                <w:color w:val="00000A"/>
                <w:kern w:val="2"/>
                <w:lang w:eastAsia="ar-SA"/>
              </w:rPr>
            </w:pPr>
            <w:r>
              <w:rPr>
                <w:rFonts w:eastAsia="Times New Roman" w:cs="Calibri" w:cstheme="minorHAnsi"/>
                <w:color w:val="00000A"/>
                <w:kern w:val="2"/>
                <w:lang w:eastAsia="ar-SA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</w: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</w:r>
          </w:p>
        </w:tc>
        <w:tc>
          <w:tcPr>
            <w:tcW w:w="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</w:r>
          </w:p>
        </w:tc>
        <w:tc>
          <w:tcPr>
            <w:tcW w:w="2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кабинет врача-педиатра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-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</w: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</w:r>
          </w:p>
        </w:tc>
        <w:tc>
          <w:tcPr>
            <w:tcW w:w="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</w:r>
          </w:p>
        </w:tc>
        <w:tc>
          <w:tcPr>
            <w:tcW w:w="2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процедурная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13,97</w:t>
            </w: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</w:r>
          </w:p>
        </w:tc>
        <w:tc>
          <w:tcPr>
            <w:tcW w:w="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+</w:t>
            </w:r>
          </w:p>
        </w:tc>
        <w:tc>
          <w:tcPr>
            <w:tcW w:w="2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2022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комната медицинской сестры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29,52</w:t>
            </w: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</w:r>
          </w:p>
        </w:tc>
        <w:tc>
          <w:tcPr>
            <w:tcW w:w="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+</w:t>
            </w:r>
          </w:p>
        </w:tc>
        <w:tc>
          <w:tcPr>
            <w:tcW w:w="2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2022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кабинет зубного врача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  <w:t>-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</w: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</w:r>
          </w:p>
        </w:tc>
        <w:tc>
          <w:tcPr>
            <w:tcW w:w="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</w:r>
          </w:p>
        </w:tc>
        <w:tc>
          <w:tcPr>
            <w:tcW w:w="2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туалет с умывальником в шлюзе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  <w:t>3,71</w:t>
            </w: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</w:r>
          </w:p>
        </w:tc>
        <w:tc>
          <w:tcPr>
            <w:tcW w:w="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  <w:t>+</w:t>
            </w:r>
          </w:p>
        </w:tc>
        <w:tc>
          <w:tcPr>
            <w:tcW w:w="2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  <w:t>2022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6.2.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Изолятор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палата для капельных инфекций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палата для кишечных инфекций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палата бокса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количество коек в палатах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X</w:t>
            </w: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X</w:t>
            </w:r>
          </w:p>
        </w:tc>
        <w:tc>
          <w:tcPr>
            <w:tcW w:w="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X</w:t>
            </w:r>
          </w:p>
        </w:tc>
        <w:tc>
          <w:tcPr>
            <w:tcW w:w="2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X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X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процедурная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буфетная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душевая для больных детей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помещение для обработки и хранения уборочного инвентаря, приготовления дезрастворов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санитарный узел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6.3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X</w:t>
            </w: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X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6.4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Другие (указать какие)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b/>
                <w:szCs w:val="20"/>
              </w:rPr>
            </w:pPr>
            <w:r>
              <w:rPr>
                <w:rFonts w:eastAsia="Times New Roman" w:cs="Calibri" w:cstheme="minorHAnsi"/>
                <w:b/>
                <w:szCs w:val="20"/>
              </w:rPr>
              <w:t>7.</w:t>
            </w:r>
          </w:p>
        </w:tc>
        <w:tc>
          <w:tcPr>
            <w:tcW w:w="868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b/>
                <w:szCs w:val="20"/>
              </w:rPr>
            </w:pPr>
            <w:r>
              <w:rPr>
                <w:rFonts w:eastAsia="Times New Roman" w:cs="Calibri" w:cstheme="minorHAnsi"/>
                <w:b/>
                <w:szCs w:val="20"/>
              </w:rPr>
              <w:t>Обеспеченность объектами хозяйственно-бытового назначения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7.1.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Характеристика банно-прачечного блока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Количественный показатель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проектная мощность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год последнего ремонта, в том числе: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капитальный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текущий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горячего водоснабжения, в том числе: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централизованное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децентрализованное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холодного водоснабжения, в том числе: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централизованное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децентрализованное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количество душевых сеток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технологического оборудования прачечной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Отсутствует технологическое оборудование (указать какое):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7.2.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Сведения о состоянии пищеблока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проектная мощность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130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год последнего ремонта, в том числе: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капитальный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косметический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количество обеденных залов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1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количество посадочных мест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130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количество смен питающихся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2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обеспеченность столовой посудой, в %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100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обеспеченность кухонной посудой, в %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100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горячего водоснабжения, в том числе: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централизованное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+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децентрализованное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холодного водоснабжения: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централизованное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+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децентрализованное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технология мытья посуды: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посудомоечной машины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+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посудомоечные ванны (количество)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5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производственных помещений (цехов)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6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отсутствуют производственные помещения (указать какие):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технологического оборудования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+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отсутствует технологическое оборудование (указать какое):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наличие холодильного оборудования: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охлаждаемые (низкотемпературные) камеры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+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 бытовые холодильники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 w:cstheme="minorHAnsi"/>
                <w:kern w:val="2"/>
                <w:lang w:eastAsia="zh-CN" w:bidi="hi-IN"/>
              </w:rPr>
            </w:pPr>
            <w:r>
              <w:rPr>
                <w:rFonts w:eastAsia="SimSun" w:cs="Calibri" w:cstheme="minorHAnsi"/>
                <w:kern w:val="2"/>
                <w:lang w:eastAsia="zh-CN" w:bidi="hi-IN"/>
              </w:rPr>
              <w:t>+</w:t>
            </w:r>
          </w:p>
        </w:tc>
      </w:tr>
      <w:tr>
        <w:trPr/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7.3.</w:t>
            </w:r>
          </w:p>
        </w:tc>
        <w:tc>
          <w:tcPr>
            <w:tcW w:w="30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Водоснабжение организации</w:t>
            </w:r>
          </w:p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(отметить в ячейке)</w:t>
            </w:r>
          </w:p>
        </w:tc>
        <w:tc>
          <w:tcPr>
            <w:tcW w:w="15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Централизованное от местного водопровода</w:t>
            </w:r>
          </w:p>
        </w:tc>
        <w:tc>
          <w:tcPr>
            <w:tcW w:w="14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Централизованное от артскважины</w:t>
            </w:r>
          </w:p>
        </w:tc>
        <w:tc>
          <w:tcPr>
            <w:tcW w:w="26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Привозная (бутилированная) вода</w:t>
            </w:r>
          </w:p>
        </w:tc>
      </w:tr>
      <w:tr>
        <w:trPr/>
        <w:tc>
          <w:tcPr>
            <w:tcW w:w="6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15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+</w:t>
            </w:r>
          </w:p>
        </w:tc>
        <w:tc>
          <w:tcPr>
            <w:tcW w:w="14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/>
            </w:pPr>
            <w:r>
              <w:rPr/>
            </w:r>
          </w:p>
        </w:tc>
        <w:tc>
          <w:tcPr>
            <w:tcW w:w="26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7.4.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Наличие емкости для запаса воды (в куб. м)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7.5.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Горячее водоснабжение: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наличие, тип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+, централизованное</w:t>
            </w:r>
          </w:p>
        </w:tc>
      </w:tr>
      <w:tr>
        <w:trPr/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7.6.</w:t>
            </w:r>
          </w:p>
        </w:tc>
        <w:tc>
          <w:tcPr>
            <w:tcW w:w="30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Канализация</w:t>
            </w:r>
          </w:p>
        </w:tc>
        <w:tc>
          <w:tcPr>
            <w:tcW w:w="29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централизованная</w:t>
            </w:r>
          </w:p>
        </w:tc>
        <w:tc>
          <w:tcPr>
            <w:tcW w:w="27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выгребного типа</w:t>
            </w:r>
          </w:p>
        </w:tc>
      </w:tr>
      <w:tr>
        <w:trPr/>
        <w:tc>
          <w:tcPr>
            <w:tcW w:w="6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9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  <w:t>+</w:t>
            </w:r>
          </w:p>
        </w:tc>
        <w:tc>
          <w:tcPr>
            <w:tcW w:w="27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7.7.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Площадки для мусора,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их оборудование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Times New Roman" w:cs="Calibri" w:cstheme="minorHAnsi"/>
                <w:kern w:val="2"/>
                <w:lang w:eastAsia="zh-CN"/>
              </w:rPr>
            </w:pPr>
            <w:r>
              <w:rPr>
                <w:rFonts w:eastAsia="Times New Roman" w:cs="Calibri" w:cstheme="minorHAnsi"/>
                <w:kern w:val="2"/>
                <w:lang w:eastAsia="zh-CN"/>
              </w:rPr>
              <w:t>+ (3 бака с крышками)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7.8.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Газоснабжение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934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b/>
                <w:szCs w:val="20"/>
              </w:rPr>
            </w:pPr>
            <w:r>
              <w:rPr>
                <w:rFonts w:eastAsia="Times New Roman" w:cs="Calibri" w:cstheme="minorHAnsi"/>
                <w:b/>
                <w:szCs w:val="20"/>
              </w:rPr>
              <w:t>8. 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</w:p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b/>
                <w:szCs w:val="20"/>
              </w:rPr>
              <w:t>(данный раздел заполняется при наличии в лагере созданных условий доступности)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8.1.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Доступность инфраструктуры организации для лиц с ограниченными возможностями в том числе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территория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+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здания и сооружения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  <w:lang w:val="en-US"/>
              </w:rPr>
            </w:pPr>
            <w:r>
              <w:rPr>
                <w:rFonts w:eastAsia="Times New Roman" w:cs="Calibri" w:cstheme="minorHAnsi"/>
                <w:szCs w:val="20"/>
              </w:rPr>
              <w:t>+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водные объекты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автотранспорт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8.2.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Наличие профильных групп для детей-инвалидов (по слуху; по зрению; с нарушениями опорно-двигательного аппарата; с задержкой умственного развития) с учетом их особых потребностей: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количество групп (с указанием профиля)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8.3.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Наличие квалифицированных специалистов по работе с детьми-инвалидами (по слуху; по зрению; с нарушениями опорно-двигательного аппарата; с задержкой умственного развития) с учетом особых потребностей детей инвалидов: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численность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профиль работы (направление)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8.4.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8.5.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Доступность информации (наличие специализированной литературы для слабовидящих, наличие сурдопереводчиков для слабослышащих) и др.</w:t>
            </w:r>
          </w:p>
        </w:tc>
        <w:tc>
          <w:tcPr>
            <w:tcW w:w="5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b/>
                <w:szCs w:val="20"/>
              </w:rPr>
            </w:pPr>
            <w:r>
              <w:rPr>
                <w:rFonts w:eastAsia="Times New Roman" w:cs="Calibri" w:cstheme="minorHAnsi"/>
                <w:b/>
                <w:szCs w:val="20"/>
              </w:rPr>
              <w:t>9.</w:t>
            </w:r>
          </w:p>
        </w:tc>
        <w:tc>
          <w:tcPr>
            <w:tcW w:w="868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b/>
                <w:szCs w:val="20"/>
              </w:rPr>
            </w:pPr>
            <w:r>
              <w:rPr>
                <w:rFonts w:eastAsia="Times New Roman" w:cs="Calibri" w:cstheme="minorHAnsi"/>
                <w:b/>
                <w:szCs w:val="20"/>
              </w:rPr>
              <w:t>Стоимость предоставляемых услуг (в руб.)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9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Предыдущий год</w:t>
            </w:r>
          </w:p>
        </w:tc>
        <w:tc>
          <w:tcPr>
            <w:tcW w:w="27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Текущий год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9.1.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Стоимость путевки</w:t>
            </w:r>
          </w:p>
        </w:tc>
        <w:tc>
          <w:tcPr>
            <w:tcW w:w="29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4365 руб (из них родительская плата составляет 2182.5 руб)</w:t>
            </w:r>
          </w:p>
        </w:tc>
        <w:tc>
          <w:tcPr>
            <w:tcW w:w="27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4365 руб (из них родительская плата составляет 2182.5 руб)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9.2.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Стоимость койко-дня</w:t>
            </w:r>
          </w:p>
        </w:tc>
        <w:tc>
          <w:tcPr>
            <w:tcW w:w="29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  <w:tc>
          <w:tcPr>
            <w:tcW w:w="27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9.3.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Стоимость питания в день</w:t>
            </w:r>
          </w:p>
        </w:tc>
        <w:tc>
          <w:tcPr>
            <w:tcW w:w="29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291</w:t>
            </w:r>
          </w:p>
        </w:tc>
        <w:tc>
          <w:tcPr>
            <w:tcW w:w="27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291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b/>
                <w:szCs w:val="20"/>
              </w:rPr>
            </w:pPr>
            <w:r>
              <w:rPr>
                <w:rFonts w:eastAsia="Times New Roman" w:cs="Calibri" w:cstheme="minorHAnsi"/>
                <w:b/>
                <w:szCs w:val="20"/>
              </w:rPr>
              <w:t>10.</w:t>
            </w:r>
          </w:p>
        </w:tc>
        <w:tc>
          <w:tcPr>
            <w:tcW w:w="868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b/>
                <w:szCs w:val="20"/>
              </w:rPr>
            </w:pPr>
            <w:r>
              <w:rPr>
                <w:rFonts w:eastAsia="Times New Roman" w:cs="Calibri" w:cstheme="minorHAnsi"/>
                <w:b/>
                <w:szCs w:val="20"/>
              </w:rPr>
              <w:t>Финансовые расходы (в тыс. руб.)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</w:r>
          </w:p>
        </w:tc>
        <w:tc>
          <w:tcPr>
            <w:tcW w:w="29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Предыдущий год</w:t>
            </w:r>
          </w:p>
        </w:tc>
        <w:tc>
          <w:tcPr>
            <w:tcW w:w="27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Текущий год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10.1.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Капитальный ремонт</w:t>
            </w:r>
          </w:p>
        </w:tc>
        <w:tc>
          <w:tcPr>
            <w:tcW w:w="29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  <w:tc>
          <w:tcPr>
            <w:tcW w:w="27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10.2.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Текущий ремонт</w:t>
            </w:r>
          </w:p>
        </w:tc>
        <w:tc>
          <w:tcPr>
            <w:tcW w:w="29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  <w:tc>
          <w:tcPr>
            <w:tcW w:w="27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10.3.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Обеспечение безопасности</w:t>
            </w:r>
          </w:p>
        </w:tc>
        <w:tc>
          <w:tcPr>
            <w:tcW w:w="29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875,2 тыс руб</w:t>
            </w:r>
          </w:p>
        </w:tc>
        <w:tc>
          <w:tcPr>
            <w:tcW w:w="27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875, 2 тыс руб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10.4.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Оснащение мягким инвентарем</w:t>
            </w:r>
          </w:p>
        </w:tc>
        <w:tc>
          <w:tcPr>
            <w:tcW w:w="29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3 тыс руб</w:t>
            </w:r>
          </w:p>
        </w:tc>
        <w:tc>
          <w:tcPr>
            <w:tcW w:w="27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5 тыс руб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10.5.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Оснащение пищеблока</w:t>
            </w:r>
          </w:p>
        </w:tc>
        <w:tc>
          <w:tcPr>
            <w:tcW w:w="29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91,8 тыс руб</w:t>
            </w:r>
          </w:p>
        </w:tc>
        <w:tc>
          <w:tcPr>
            <w:tcW w:w="27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45 тыс руб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10.6.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Другие (указать какие)</w:t>
            </w:r>
          </w:p>
        </w:tc>
        <w:tc>
          <w:tcPr>
            <w:tcW w:w="29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  <w:tc>
          <w:tcPr>
            <w:tcW w:w="27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szCs w:val="20"/>
              </w:rPr>
            </w:pPr>
            <w:r>
              <w:rPr>
                <w:rFonts w:eastAsia="Times New Roman" w:cs="Calibri" w:cstheme="minorHAns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b/>
                <w:szCs w:val="20"/>
              </w:rPr>
            </w:pPr>
            <w:r>
              <w:rPr>
                <w:rFonts w:eastAsia="Times New Roman" w:cs="Calibri" w:cstheme="minorHAnsi"/>
                <w:b/>
                <w:szCs w:val="20"/>
              </w:rPr>
              <w:t xml:space="preserve">11. </w:t>
            </w:r>
            <w:r>
              <w:fldChar w:fldCharType="begin"/>
            </w:r>
            <w:r>
              <w:rPr>
                <w:b/>
                <w:szCs w:val="20"/>
                <w:rFonts w:cs="Calibri"/>
                <w:color w:val="0000FF"/>
              </w:rPr>
              <w:instrText xml:space="preserve"> HYPERLINK "../../../C:/Users/%D0%91%D0%BE%D0%B3%D0%B0%D0%BD%D0%B4%D0%B8%D0%BD%D1%81%D0%BA%D0%B0%D1%8F%20%D0%A1%D0%9E%D0%A8%20%E2%84%962/Downloads/%D1%84%D0%BE%D1%80%D0%BC%D0%B0%20%D0%BF%D0%B0%D1%81%D0%BF%D0%BE%D1%80%D1%82%D0%B0%20%D0%BB%D0%B0%D0%B3%D0%B5%D1%80%D1%8F.docx" \l "P1064"</w:instrText>
            </w:r>
            <w:r>
              <w:rPr>
                <w:b/>
                <w:szCs w:val="20"/>
                <w:rFonts w:cs="Calibri"/>
                <w:color w:val="0000FF"/>
              </w:rPr>
              <w:fldChar w:fldCharType="separate"/>
            </w:r>
            <w:r>
              <w:rPr>
                <w:rFonts w:cs="Calibri" w:cstheme="minorHAnsi"/>
                <w:b/>
                <w:color w:val="0000FF"/>
                <w:szCs w:val="20"/>
              </w:rPr>
              <w:t>&lt;*&gt;</w:t>
            </w:r>
            <w:r>
              <w:rPr>
                <w:b/>
                <w:szCs w:val="20"/>
                <w:rFonts w:cs="Calibri"/>
                <w:color w:val="0000FF"/>
              </w:rPr>
              <w:fldChar w:fldCharType="end"/>
            </w:r>
          </w:p>
        </w:tc>
        <w:tc>
          <w:tcPr>
            <w:tcW w:w="868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b/>
                <w:szCs w:val="20"/>
              </w:rPr>
            </w:pPr>
            <w:r>
              <w:rPr>
                <w:rFonts w:eastAsia="Times New Roman" w:cs="Calibri" w:cstheme="minorHAnsi"/>
                <w:b/>
                <w:szCs w:val="20"/>
              </w:rPr>
              <w:t>Профиль организации (указать) 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 w:cstheme="minorHAnsi"/>
                <w:b/>
                <w:szCs w:val="20"/>
              </w:rPr>
            </w:pPr>
            <w:r>
              <w:rPr>
                <w:rFonts w:eastAsia="Times New Roman" w:cs="Calibri" w:cstheme="minorHAnsi"/>
                <w:b/>
                <w:szCs w:val="20"/>
              </w:rPr>
              <w:t xml:space="preserve">12. </w:t>
            </w:r>
            <w:r>
              <w:fldChar w:fldCharType="begin"/>
            </w:r>
            <w:r>
              <w:rPr>
                <w:b/>
                <w:szCs w:val="20"/>
                <w:rFonts w:cs="Calibri"/>
                <w:color w:val="0000FF"/>
              </w:rPr>
              <w:instrText xml:space="preserve"> HYPERLINK "../../../C:/Users/%D0%91%D0%BE%D0%B3%D0%B0%D0%BD%D0%B4%D0%B8%D0%BD%D1%81%D0%BA%D0%B0%D1%8F%20%D0%A1%D0%9E%D0%A8%20%E2%84%962/Downloads/%D1%84%D0%BE%D1%80%D0%BC%D0%B0%20%D0%BF%D0%B0%D1%81%D0%BF%D0%BE%D1%80%D1%82%D0%B0%20%D0%BB%D0%B0%D0%B3%D0%B5%D1%80%D1%8F.docx" \l "P1064"</w:instrText>
            </w:r>
            <w:r>
              <w:rPr>
                <w:b/>
                <w:szCs w:val="20"/>
                <w:rFonts w:cs="Calibri"/>
                <w:color w:val="0000FF"/>
              </w:rPr>
              <w:fldChar w:fldCharType="separate"/>
            </w:r>
            <w:r>
              <w:rPr>
                <w:rFonts w:cs="Calibri" w:cstheme="minorHAnsi"/>
                <w:b/>
                <w:color w:val="0000FF"/>
                <w:szCs w:val="20"/>
              </w:rPr>
              <w:t>&lt;*&gt;</w:t>
            </w:r>
            <w:r>
              <w:rPr>
                <w:b/>
                <w:szCs w:val="20"/>
                <w:rFonts w:cs="Calibri"/>
                <w:color w:val="0000FF"/>
              </w:rPr>
              <w:fldChar w:fldCharType="end"/>
            </w:r>
          </w:p>
        </w:tc>
        <w:tc>
          <w:tcPr>
            <w:tcW w:w="868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 w:cstheme="minorHAnsi"/>
                <w:b/>
                <w:szCs w:val="20"/>
              </w:rPr>
            </w:pPr>
            <w:r>
              <w:rPr>
                <w:rFonts w:eastAsia="Times New Roman" w:cs="Calibri" w:cstheme="minorHAnsi"/>
                <w:b/>
                <w:szCs w:val="20"/>
              </w:rPr>
              <w:t>Медицинские услуги и процедуры (указать какие) -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Cs w:val="20"/>
          <w:lang w:eastAsia="ru-RU"/>
        </w:rPr>
      </w:pPr>
      <w:r>
        <w:rPr>
          <w:rFonts w:eastAsia="Times New Roman" w:cs="Times New Roman" w:ascii="Times New Roman" w:hAnsi="Times New Roman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>Директор</w:t>
      </w:r>
      <w:r>
        <w:rPr>
          <w:rFonts w:eastAsia="Times New Roman" w:cs="Times New Roman"/>
          <w:szCs w:val="20"/>
          <w:lang w:eastAsia="ru-RU"/>
        </w:rPr>
        <w:t>:      _________________       С.А.Полунина</w:t>
        <w:tab/>
      </w:r>
    </w:p>
    <w:p>
      <w:pPr>
        <w:pStyle w:val="Normal"/>
        <w:widowControl w:val="false"/>
        <w:spacing w:lineRule="auto" w:line="240" w:before="0" w:after="0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ab/>
        <w:tab/>
        <w:tab/>
        <w:tab/>
        <w:tab/>
        <w:tab/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Cs w:val="20"/>
          <w:lang w:eastAsia="ru-RU"/>
        </w:rPr>
      </w:pPr>
      <w:r>
        <w:rPr>
          <w:rFonts w:eastAsia="Times New Roman" w:cs="Times New Roman" w:ascii="Times New Roman" w:hAnsi="Times New Roman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Cs w:val="20"/>
          <w:lang w:eastAsia="ru-RU"/>
        </w:rPr>
      </w:pPr>
      <w:r>
        <w:rPr>
          <w:rFonts w:eastAsia="Times New Roman" w:cs="Times New Roman" w:ascii="Times New Roman" w:hAnsi="Times New Roman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Cs w:val="20"/>
          <w:lang w:eastAsia="ru-RU"/>
        </w:rPr>
      </w:pPr>
      <w:r>
        <w:rPr>
          <w:rFonts w:eastAsia="Times New Roman" w:cs="Times New Roman" w:ascii="Times New Roman" w:hAnsi="Times New Roman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Cs w:val="20"/>
          <w:lang w:eastAsia="ru-RU"/>
        </w:rPr>
      </w:pPr>
      <w:r>
        <w:rPr>
          <w:rFonts w:eastAsia="Times New Roman" w:cs="Times New Roman" w:ascii="Times New Roman" w:hAnsi="Times New Roman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Cs w:val="20"/>
          <w:lang w:eastAsia="ru-RU"/>
        </w:rPr>
      </w:pPr>
      <w:r>
        <w:rPr>
          <w:rFonts w:eastAsia="Times New Roman" w:cs="Times New Roman" w:ascii="Times New Roman" w:hAnsi="Times New Roman"/>
          <w:szCs w:val="20"/>
          <w:lang w:eastAsia="ru-RU"/>
        </w:rPr>
      </w:r>
      <w:bookmarkStart w:id="2" w:name="_GoBack_Копия_1"/>
      <w:bookmarkStart w:id="3" w:name="_GoBack_Копия_1"/>
      <w:bookmarkEnd w:id="3"/>
    </w:p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629b1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8629b1"/>
    <w:pPr>
      <w:keepNext w:val="true"/>
      <w:keepLines/>
      <w:widowControl w:val="false"/>
      <w:suppressAutoHyphens w:val="true"/>
      <w:spacing w:lineRule="auto" w:line="240" w:before="240" w:after="0"/>
      <w:outlineLvl w:val="0"/>
    </w:pPr>
    <w:rPr>
      <w:rFonts w:ascii="Calibri Light" w:hAnsi="Calibri Light" w:eastAsia="" w:cs="Mangal" w:asciiTheme="majorHAnsi" w:eastAsiaTheme="majorEastAsia" w:hAnsiTheme="majorHAnsi"/>
      <w:color w:themeColor="accent1" w:themeShade="bf" w:val="2E74B5"/>
      <w:kern w:val="2"/>
      <w:sz w:val="32"/>
      <w:szCs w:val="29"/>
      <w:lang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8629b1"/>
    <w:rPr>
      <w:rFonts w:ascii="Calibri Light" w:hAnsi="Calibri Light" w:eastAsia="" w:cs="Mangal" w:asciiTheme="majorHAnsi" w:eastAsiaTheme="majorEastAsia" w:hAnsiTheme="majorHAnsi"/>
      <w:color w:themeColor="accent1" w:themeShade="bf" w:val="2E74B5"/>
      <w:kern w:val="2"/>
      <w:sz w:val="32"/>
      <w:szCs w:val="29"/>
      <w:lang w:eastAsia="zh-CN" w:bidi="hi-IN"/>
    </w:rPr>
  </w:style>
  <w:style w:type="character" w:styleId="Style13" w:customStyle="1">
    <w:name w:val="Основной текст Знак"/>
    <w:basedOn w:val="DefaultParagraphFont"/>
    <w:semiHidden/>
    <w:qFormat/>
    <w:rsid w:val="008629b1"/>
    <w:rPr>
      <w:rFonts w:ascii="Times New Roman" w:hAnsi="Times New Roman" w:eastAsia="Times New Roman" w:cs="Times New Roman"/>
      <w:color w:val="00000A"/>
      <w:kern w:val="2"/>
      <w:sz w:val="28"/>
      <w:szCs w:val="24"/>
      <w:lang w:eastAsia="ar-SA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b1cb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semiHidden/>
    <w:unhideWhenUsed/>
    <w:rsid w:val="008629b1"/>
    <w:rPr>
      <w:color w:val="0563C1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link w:val="Style13"/>
    <w:semiHidden/>
    <w:unhideWhenUsed/>
    <w:rsid w:val="008629b1"/>
    <w:pPr>
      <w:suppressAutoHyphens w:val="true"/>
      <w:spacing w:lineRule="auto" w:line="360" w:before="0" w:after="0"/>
      <w:jc w:val="both"/>
    </w:pPr>
    <w:rPr>
      <w:rFonts w:ascii="Times New Roman" w:hAnsi="Times New Roman" w:eastAsia="Times New Roman" w:cs="Times New Roman"/>
      <w:color w:val="00000A"/>
      <w:kern w:val="2"/>
      <w:sz w:val="28"/>
      <w:szCs w:val="24"/>
      <w:lang w:eastAsia="ar-SA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b1cb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public211964026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10072</TotalTime>
  <Application>LibreOffice/7.6.0.3$Linux_X86_64 LibreOffice_project/60$Build-3</Application>
  <AppVersion>15.0000</AppVersion>
  <Pages>12</Pages>
  <Words>1619</Words>
  <Characters>9788</Characters>
  <CharactersWithSpaces>10870</CharactersWithSpaces>
  <Paragraphs>562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Богандинская СОШ №2</dc:creator>
  <dc:description/>
  <dc:language>ru-RU</dc:language>
  <cp:lastModifiedBy/>
  <cp:lastPrinted>2025-01-23T11:50:14Z</cp:lastPrinted>
  <dcterms:modified xsi:type="dcterms:W3CDTF">2026-01-12T11:07:50Z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